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93" w:rsidRPr="004C70F2" w:rsidRDefault="00F55C93" w:rsidP="00F55C93">
      <w:pPr>
        <w:shd w:val="clear" w:color="auto" w:fill="FFFFFF"/>
        <w:spacing w:before="122" w:after="122" w:line="240" w:lineRule="auto"/>
        <w:jc w:val="center"/>
        <w:rPr>
          <w:rFonts w:ascii="Arial" w:eastAsia="Times New Roman" w:hAnsi="Arial" w:cs="Arial"/>
          <w:color w:val="404040"/>
          <w:sz w:val="28"/>
          <w:szCs w:val="28"/>
          <w:lang w:eastAsia="ru-RU"/>
        </w:rPr>
      </w:pPr>
      <w:r w:rsidRPr="004C70F2">
        <w:rPr>
          <w:rFonts w:ascii="Arial" w:eastAsia="Times New Roman" w:hAnsi="Arial" w:cs="Arial"/>
          <w:b/>
          <w:bCs/>
          <w:color w:val="404040"/>
          <w:sz w:val="28"/>
          <w:szCs w:val="28"/>
          <w:lang w:eastAsia="ru-RU"/>
        </w:rPr>
        <w:t>ПРОЕКТНАЯ ДЕКЛАРАЦИЯ</w:t>
      </w:r>
    </w:p>
    <w:p w:rsidR="00F55C93" w:rsidRPr="0004572C" w:rsidRDefault="00CF2825" w:rsidP="00CF282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о </w:t>
      </w:r>
      <w:r w:rsidR="00F55C93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стро</w:t>
      </w:r>
      <w: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ительстве</w:t>
      </w:r>
      <w:r w:rsidR="00F55C93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трёхэтажного 6-и квартирного </w:t>
      </w:r>
      <w:r w:rsidR="00F55C93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жилог</w:t>
      </w:r>
      <w:bookmarkStart w:id="0" w:name="_GoBack"/>
      <w:bookmarkEnd w:id="0"/>
      <w:r w:rsidR="00F55C93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о дома</w:t>
      </w:r>
      <w: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                                     </w:t>
      </w:r>
      <w:r w:rsidR="00F55C93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с инженерными коммуникациями, расположенного по адресу: г. </w:t>
      </w:r>
      <w:proofErr w:type="gramStart"/>
      <w:r w:rsidR="00F55C93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Ярославль,</w:t>
      </w:r>
      <w: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  </w:t>
      </w:r>
      <w:proofErr w:type="gramEnd"/>
      <w: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                                                                 </w:t>
      </w:r>
      <w:r w:rsidR="00B236ED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между </w:t>
      </w:r>
      <w:r w:rsidR="00F55C93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ул.</w:t>
      </w:r>
      <w:r w:rsidR="00FA305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</w:t>
      </w:r>
      <w:r w:rsidR="00B236ED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4-й Островной и ул.</w:t>
      </w:r>
      <w:r w:rsidR="00FA305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</w:t>
      </w:r>
      <w:r w:rsidR="00B236ED" w:rsidRPr="0004572C"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>1-й Шоссейной</w:t>
      </w:r>
      <w:r>
        <w:rPr>
          <w:rFonts w:ascii="Arial" w:eastAsia="Times New Roman" w:hAnsi="Arial" w:cs="Arial"/>
          <w:b/>
          <w:color w:val="404040"/>
          <w:sz w:val="24"/>
          <w:szCs w:val="24"/>
          <w:lang w:eastAsia="ru-RU"/>
        </w:rPr>
        <w:t xml:space="preserve"> (1 строение)</w:t>
      </w:r>
    </w:p>
    <w:p w:rsidR="00F55C93" w:rsidRPr="0004572C" w:rsidRDefault="00F55C93" w:rsidP="00F55C93">
      <w:pPr>
        <w:shd w:val="clear" w:color="auto" w:fill="FFFFFF"/>
        <w:spacing w:before="122" w:after="150" w:line="300" w:lineRule="atLeast"/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</w:pP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г.</w:t>
      </w:r>
      <w:r w:rsid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Ярославль                                                  </w:t>
      </w:r>
      <w:r w:rsidR="0004572C"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 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      </w:t>
      </w:r>
      <w:r w:rsidR="004C70F2"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                                                              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    </w:t>
      </w:r>
      <w:r w:rsidR="004C70F2"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 xml:space="preserve">  </w:t>
      </w:r>
      <w:r w:rsidRPr="0004572C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  </w:t>
      </w:r>
      <w:r w:rsidR="00F76D02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1</w:t>
      </w:r>
      <w:r w:rsidR="004A1869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5</w:t>
      </w:r>
      <w:r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.0</w:t>
      </w:r>
      <w:r w:rsidR="00E75482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4</w:t>
      </w:r>
      <w:r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.201</w:t>
      </w:r>
      <w:r w:rsidR="004C70F2"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5</w:t>
      </w:r>
      <w:r w:rsidRPr="005C446F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г.</w:t>
      </w:r>
    </w:p>
    <w:tbl>
      <w:tblPr>
        <w:tblW w:w="0" w:type="auto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5944"/>
      </w:tblGrid>
      <w:tr w:rsidR="00F55C93" w:rsidRPr="0004572C" w:rsidTr="00F55C9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04572C" w:rsidRDefault="00F55C93" w:rsidP="004E0657">
            <w:pPr>
              <w:spacing w:before="122" w:after="122" w:line="300" w:lineRule="atLeast"/>
              <w:ind w:left="315" w:hanging="360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04572C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  <w:t>1. Информация о застройщике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1) Фирменное наименование (наименование), место нахождения застройщика, режим работы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Фирменное наименование (наименование):</w:t>
            </w:r>
          </w:p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Общество с ограниченной ответственностью «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ВОЛЖСТРОЙ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» (сокращенное наименование: ООО «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ВОЛЖСТРОЙ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»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)</w:t>
            </w:r>
          </w:p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Юридический адрес: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="004A3A77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150001 г.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4A3A77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Ярославль, 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ул. Малая Пролетарская</w:t>
            </w:r>
            <w:r w:rsidR="004A3A77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 д. 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8а, литер д, оф.231</w:t>
            </w:r>
          </w:p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Фактический адрес: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150001 г.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Ярославль, 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ул. Малая Пролетарская</w:t>
            </w:r>
            <w:r w:rsidR="00575F8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д. 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8а, литер д, оф.231</w:t>
            </w:r>
          </w:p>
          <w:p w:rsid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Режим работы застройщика: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пн</w:t>
            </w:r>
            <w:r w:rsidR="0032241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</w:t>
            </w:r>
            <w:proofErr w:type="spellStart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</w:t>
            </w:r>
            <w:r w:rsidR="0032241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ятн</w:t>
            </w:r>
            <w:proofErr w:type="spellEnd"/>
            <w:r w:rsidR="0032241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09.00</w:t>
            </w:r>
            <w:r w:rsidR="00F76D0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ч.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-18.00</w:t>
            </w:r>
            <w:r w:rsidR="00F76D0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ч.</w:t>
            </w:r>
          </w:p>
          <w:p w:rsidR="00DB1EA5" w:rsidRPr="00F55C93" w:rsidRDefault="00DB1EA5" w:rsidP="00DB1EA5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Контактный телефон</w:t>
            </w: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: </w:t>
            </w:r>
            <w:r w:rsidRPr="00896DD2">
              <w:rPr>
                <w:rFonts w:ascii="Arial" w:eastAsia="Times New Roman" w:hAnsi="Arial" w:cs="Arial"/>
                <w:bCs/>
                <w:color w:val="404040"/>
                <w:sz w:val="16"/>
                <w:lang w:eastAsia="ru-RU"/>
              </w:rPr>
              <w:t>(4852) 98-88-12</w:t>
            </w:r>
            <w:r w:rsidR="00E75482">
              <w:rPr>
                <w:rFonts w:ascii="Arial" w:eastAsia="Times New Roman" w:hAnsi="Arial" w:cs="Arial"/>
                <w:bCs/>
                <w:color w:val="404040"/>
                <w:sz w:val="16"/>
                <w:lang w:eastAsia="ru-RU"/>
              </w:rPr>
              <w:t>, 33-92-53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2) Информация о государственной регистрации застройщика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Зарегистрировано 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07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.0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.201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ИФНС России №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4E065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 по Ярославской области</w:t>
            </w:r>
          </w:p>
          <w:p w:rsidR="00F55C93" w:rsidRPr="00F55C93" w:rsidRDefault="00F55C93" w:rsidP="004A3A77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ОГРН 11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760401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23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DB1EA5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  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ИНН 76042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="004A3A7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90</w:t>
            </w:r>
            <w:r w:rsidR="00DB1EA5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     КПП 760401001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3) Учредители (участники)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– учредителя (участника), фамилии, имени, отчества физического лица –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Единственный участник застройщика – </w:t>
            </w:r>
            <w:r w:rsidR="00DB1EA5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Давыденко Василий Степанович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 Данный участник обладает 100 % уставного капитала.</w:t>
            </w:r>
          </w:p>
          <w:p w:rsidR="00896DD2" w:rsidRPr="00F55C93" w:rsidRDefault="00896DD2" w:rsidP="00DB1EA5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Генеральный директор – Давыденко Василий Степанович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4) 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проектной документацией и фактических сроков ввода их в эксплуатацию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 течение трех лет, предшествующих опубликованию проектной декларации, застройщик не принимал участие в проектах строительства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5) Вид лицензируемой деятельности, номер лицензии, срок ее действия, информация об органе, выдавшем эту лицензию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4C285D">
            <w:pPr>
              <w:spacing w:before="122" w:after="15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Лицензирование деятельности не предусмотрено законодательством РФ.</w:t>
            </w:r>
          </w:p>
        </w:tc>
      </w:tr>
      <w:tr w:rsidR="006A23A2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A23A2" w:rsidRPr="00F55C93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6) 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6D54D8" w:rsidRPr="005C446F" w:rsidRDefault="006A23A2" w:rsidP="006D54D8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По состоянию на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01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.201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: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                                    </w:t>
            </w:r>
          </w:p>
          <w:p w:rsidR="006A23A2" w:rsidRPr="005C446F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Финансовый результат 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– 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убыток 416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 000 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уб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6A23A2" w:rsidRPr="005C446F" w:rsidRDefault="006A23A2" w:rsidP="006A23A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Кр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едиторская задолженность - </w:t>
            </w:r>
            <w:r w:rsidR="00631DE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2 10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1 000 </w:t>
            </w:r>
            <w:r w:rsidR="00631DE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уб</w:t>
            </w:r>
            <w:r w:rsidR="00631DE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6A23A2" w:rsidRPr="00F55C93" w:rsidRDefault="006A23A2" w:rsidP="004A1869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Дебиторская задолженность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- 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8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5 00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</w:t>
            </w:r>
            <w:r w:rsidR="004A186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уб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04572C" w:rsidTr="00F55C93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04572C" w:rsidRDefault="00F55C93" w:rsidP="00F55C93">
            <w:pPr>
              <w:spacing w:before="122" w:after="122" w:line="240" w:lineRule="auto"/>
              <w:jc w:val="center"/>
              <w:rPr>
                <w:rFonts w:ascii="Arial" w:eastAsia="Times New Roman" w:hAnsi="Arial" w:cs="Arial"/>
                <w:color w:val="404040"/>
                <w:sz w:val="20"/>
                <w:szCs w:val="20"/>
                <w:lang w:eastAsia="ru-RU"/>
              </w:rPr>
            </w:pPr>
            <w:r w:rsidRPr="0004572C">
              <w:rPr>
                <w:rFonts w:ascii="Arial" w:eastAsia="Times New Roman" w:hAnsi="Arial" w:cs="Arial"/>
                <w:b/>
                <w:bCs/>
                <w:color w:val="404040"/>
                <w:sz w:val="20"/>
                <w:szCs w:val="20"/>
                <w:lang w:eastAsia="ru-RU"/>
              </w:rPr>
              <w:t>2. Информация о проекте строительства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7) Цель проекта строительства, этапы и сроки его реализации, результаты государственной экспертизы проектной документации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b/>
                <w:bCs/>
                <w:color w:val="404040"/>
                <w:sz w:val="16"/>
                <w:lang w:eastAsia="ru-RU"/>
              </w:rPr>
              <w:t>Цель проекта: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строительство </w:t>
            </w:r>
            <w:r w:rsidR="00A200B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трёхэтажного </w:t>
            </w:r>
            <w:r w:rsidR="0032241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6-и квар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тирного жилого</w:t>
            </w:r>
            <w:r w:rsidR="00A200B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кирпичного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дома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с инженерными коммуникациями </w:t>
            </w:r>
            <w:r w:rsidR="0032241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с целью реализации квартир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по адресу:</w:t>
            </w:r>
          </w:p>
          <w:p w:rsidR="004F5FF8" w:rsidRDefault="004F5FF8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Ярославль, Заволжский р-н, между ул.4-й Островной и ул.1-й Шоссейной</w:t>
            </w:r>
            <w:r w:rsidR="0074057E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</w:p>
          <w:p w:rsidR="00F55C93" w:rsidRPr="004F5FF8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b/>
                <w:color w:val="404040"/>
                <w:sz w:val="16"/>
                <w:szCs w:val="16"/>
                <w:lang w:eastAsia="ru-RU"/>
              </w:rPr>
            </w:pPr>
            <w:r w:rsidRPr="004F5FF8">
              <w:rPr>
                <w:rFonts w:ascii="Arial" w:eastAsia="Times New Roman" w:hAnsi="Arial" w:cs="Arial"/>
                <w:b/>
                <w:color w:val="404040"/>
                <w:sz w:val="16"/>
                <w:szCs w:val="16"/>
                <w:lang w:eastAsia="ru-RU"/>
              </w:rPr>
              <w:t>Этапы строительства:</w:t>
            </w:r>
          </w:p>
          <w:p w:rsidR="00F55C93" w:rsidRPr="004C285D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1 этап – разработка проектной документации и проведение геологических 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изысканий </w:t>
            </w:r>
            <w:r w:rsidR="004F5FF8"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</w:t>
            </w:r>
            <w:r w:rsidR="004F5FF8"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г. – </w:t>
            </w:r>
            <w:r w:rsidR="004F5FF8"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2014г.</w:t>
            </w:r>
          </w:p>
          <w:p w:rsidR="00F55C93" w:rsidRPr="00F55C93" w:rsidRDefault="00F55C93" w:rsidP="006375DB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lastRenderedPageBreak/>
              <w:t>2 этап – выполнение строительно-монтажных работ 2014-2015гг.;</w:t>
            </w:r>
          </w:p>
          <w:p w:rsidR="00F55C93" w:rsidRDefault="00F55C93" w:rsidP="004C285D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3 этап – ввод объекта в эксплуатацию 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2015г.</w:t>
            </w:r>
          </w:p>
          <w:p w:rsidR="006A23A2" w:rsidRPr="00F55C93" w:rsidRDefault="006A23A2" w:rsidP="00322419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осударственн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ая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экспертиз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а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проектной документации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не т</w:t>
            </w:r>
            <w:r w:rsidR="0032241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ребует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ся согласно пункту 2 Статьи 49 Градостроительного Кодекса РФ.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lastRenderedPageBreak/>
              <w:t>8)</w:t>
            </w:r>
            <w:r w:rsidR="009A66A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Разрешение на строительство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322419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Разрешение № RU76301000-</w:t>
            </w:r>
            <w:r w:rsidR="004F5FF8"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</w:t>
            </w:r>
            <w:r w:rsidR="00E7548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-2014 от 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27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.2014</w:t>
            </w:r>
            <w:r w:rsid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выдано Департаментом архитектуры и разв</w:t>
            </w:r>
            <w:r w:rsidR="008C6D5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ития территории города мэрии г.</w:t>
            </w:r>
            <w:r w:rsid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Ярославля</w:t>
            </w:r>
            <w:r w:rsidR="0032241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 срок действия до 28.11.2016г.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9)</w:t>
            </w:r>
            <w:r w:rsidR="009A66A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Информация о правах застройщика на земельный участок, в том числе реквизитах правоустанавливающих документов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участка, предоставленного для строительства (создания) многоквартирного дома и (или) иных объектов недвижимости, об элементах благоустройства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06341E" w:rsidRDefault="0006341E" w:rsidP="0006341E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Договор аренды </w:t>
            </w:r>
            <w:r w:rsidR="006A23A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№ 1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земельного участка, находящегося в частной собственности от 01.09.2014г.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Границы земельного участка предусмотрены кадастровым планом земельного участка.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Площадь участка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: 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27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</w:t>
            </w:r>
            <w:r w:rsidR="008C6D5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м</w:t>
            </w:r>
            <w:proofErr w:type="spellEnd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575F80" w:rsidRDefault="00F55C93" w:rsidP="00575F80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Адрес земельного участка: </w:t>
            </w:r>
            <w:r w:rsidR="00575F80" w:rsidRP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Ярославль, между ул.4-й Островной и ул.1-й Шоссейной</w:t>
            </w:r>
            <w:r w:rsidR="00575F80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Кадастровый номер: 76: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23:0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01:</w:t>
            </w:r>
            <w:r w:rsidR="008C6D5C"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</w:t>
            </w:r>
          </w:p>
          <w:p w:rsidR="00F55C93" w:rsidRPr="00F55C93" w:rsidRDefault="00F55C93" w:rsidP="008C6D5C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Категория земли: земли </w:t>
            </w:r>
            <w:r w:rsidR="00575F80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населенных пунктов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F55C93" w:rsidRPr="00F55C93" w:rsidRDefault="00F55C93" w:rsidP="00575F80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Элементы благоустройства: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устройство обслуживающих проездов и тротуаров с твердым покрытием, автостоянок, размещение площадок отдыха взрослых и игр детей, хозяйственных площадок, озеленения территорий.</w:t>
            </w:r>
          </w:p>
        </w:tc>
      </w:tr>
      <w:tr w:rsidR="005827F2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827F2" w:rsidRPr="00F55C93" w:rsidRDefault="005827F2" w:rsidP="005827F2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10) Информация о местоположении строящихся (создаваемых) многоквартирного дома и (или) иного объекта недвижимости и об их описании, подготовленной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5827F2" w:rsidRDefault="005827F2" w:rsidP="005827F2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Местоположение: </w:t>
            </w:r>
            <w:r w:rsidRPr="004F5FF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г. Ярославль, между ул.4-й Островной и ул.1-й Шоссейной</w:t>
            </w:r>
            <w:r w:rsidR="00CA6FA5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5827F2" w:rsidRPr="00F55C93" w:rsidRDefault="005827F2" w:rsidP="005827F2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Жилой дом с техническим чердаком, количество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жилых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этажей –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3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 Здание прямоугольное в плане с размерами по осям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А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Д</w:t>
            </w:r>
            <w:proofErr w:type="gramEnd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,84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х1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2,1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м. Высота помещений жилых этажей –2,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м.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ысота технического этажа – 1,8 м. Здание бескаркасное с продольными и поперечными несущими стенами, кирпичное. Наружные стены: камень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керамически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й </w:t>
            </w:r>
            <w:proofErr w:type="spellStart"/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поризованный</w:t>
            </w:r>
            <w:proofErr w:type="spellEnd"/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 облицовкой лицевым кирпичом. Внутренние перегородки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межкомнатные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а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гребневые</w:t>
            </w:r>
            <w:proofErr w:type="spellEnd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блоки 70мм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. 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Внутренние перегородки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межквартирные: </w:t>
            </w:r>
            <w:proofErr w:type="spellStart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а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гребневые</w:t>
            </w:r>
            <w:proofErr w:type="spellEnd"/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блоки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115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мм.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Фундамент: </w:t>
            </w: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сборно-монолитный железобетон</w:t>
            </w:r>
            <w:r w:rsidRPr="00C16C3C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11) Информация о количестве в составе строящихся (создаваемых)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а также об описании технических характеристик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указанных самостоятельных частей в соответствии с проектной документацией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9C61D7" w:rsidRDefault="00F55C93" w:rsidP="00F55C93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Количество квартир – </w:t>
            </w:r>
            <w:r w:rsidR="009C61D7"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6</w:t>
            </w: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 </w:t>
            </w:r>
            <w:proofErr w:type="spellStart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шт</w:t>
            </w:r>
            <w:proofErr w:type="spellEnd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 в том числе:</w:t>
            </w:r>
          </w:p>
          <w:p w:rsidR="005827F2" w:rsidRPr="009C61D7" w:rsidRDefault="005827F2" w:rsidP="005827F2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1 комнатных – 3 шт. общей площадью 42,78 </w:t>
            </w:r>
            <w:proofErr w:type="spellStart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кв.м</w:t>
            </w:r>
            <w:proofErr w:type="spellEnd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;</w:t>
            </w:r>
          </w:p>
          <w:p w:rsidR="005827F2" w:rsidRPr="009C61D7" w:rsidRDefault="005827F2" w:rsidP="005827F2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2 комнатных – 3 шт. общей площадью 57,90 </w:t>
            </w:r>
            <w:proofErr w:type="spellStart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кв.м</w:t>
            </w:r>
            <w:proofErr w:type="spellEnd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  <w:p w:rsidR="00F55C93" w:rsidRPr="009C61D7" w:rsidRDefault="00F55C93" w:rsidP="005827F2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Нежи</w:t>
            </w:r>
            <w:r w:rsidR="004C285D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лое помещение технического чердака</w:t>
            </w: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– </w:t>
            </w:r>
            <w:r w:rsidR="005827F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</w:t>
            </w:r>
            <w:r w:rsidR="000B58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9</w:t>
            </w: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="005827F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20</w:t>
            </w:r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кв.м</w:t>
            </w:r>
            <w:proofErr w:type="spellEnd"/>
            <w:r w:rsidRPr="009C61D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12) Информация о функциональном назначении нежилых помещений в многоквартирном доме, не входящих в состав общего имущества в многоквартирном доме, если строящимся (создаваемым) объектом недвижимости является многоквартирный дом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9C61D7" w:rsidRDefault="0006341E" w:rsidP="000B587A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Нет.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13) Информация о составе общего имущества в многоквартирном доме и (или) ином объекте недвижимости, которое будет находиться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 в общей долевой собственности участников долевого строительства после получения разрешения на ввод в эксплуатацию указанных объектов долевого строительства участникам долевого строительства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D755FF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Помещения</w:t>
            </w:r>
            <w:r w:rsidR="009A66A9"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предназначенные для обслуживания более одного помещения в данном доме, в том числе лестницы, лестничные площадки, чердаки, инженерные коммуникации,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14) Информация о предполагаемом сроке получения разрешения на ввод в эксплуатацию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lang w:eastAsia="ru-RU"/>
              </w:rPr>
              <w:t> 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строящихся (создаваемых) многоквартирного дома и (или) иного объекта недвижимости, об органе, уполномоченном в соответствии с законодательством градостроительной деятельности на выдачу разрешения на ввод этих объектов недвижимости в эксплуатацию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26631B" w:rsidRDefault="00F55C93" w:rsidP="00D755FF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Предполагаемый срок получения разрешения на ввод в эксплуатацию:</w:t>
            </w:r>
          </w:p>
          <w:p w:rsidR="00F55C93" w:rsidRPr="00F55C93" w:rsidRDefault="00D755FF" w:rsidP="00D755FF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4</w:t>
            </w:r>
            <w:r w:rsidR="00F55C93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квартал 2015 года</w:t>
            </w:r>
          </w:p>
          <w:p w:rsidR="00F55C93" w:rsidRPr="00F55C93" w:rsidRDefault="00F55C93" w:rsidP="00D755FF">
            <w:pPr>
              <w:spacing w:before="122" w:after="122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Выдачу разрешения на ввод в эксплуатацию осуществляет Департамент архитектуры и развития территорий города мэрии г. Ярославля</w:t>
            </w:r>
            <w:r w:rsidR="006A23A2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lastRenderedPageBreak/>
              <w:t>15) Информация о возможных финансовых и прочих рисках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D755FF" w:rsidRDefault="00F55C93" w:rsidP="0006341E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highlight w:val="yellow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 случае возникновения финансовых и прочих рисков при проведении строительных работ, связанных с обстоятельствами непреодолимой силы, в том числе: стихийные бедствия, военные действия, забастовки, эпидемии, пожар, наводнение, землетрясение, акты и решения законодательных органов власти, действие которых не было и не могло быть предусмотрено сторонами, а также другие природные явления, действия которых непосредственно повлияли на исполнение Договора и все другие события, которые уполномоченные на то государственные органы признают случаями непреодолимой силы, исполнение обязательств по Договору отодвигается соразмерно времени действия этих обстоятельств.</w:t>
            </w:r>
            <w:r w:rsidR="0006341E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М</w:t>
            </w:r>
            <w:r w:rsidR="0006341E"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ер по добровольному страхованию застройщиком таких рисков</w:t>
            </w:r>
            <w:r w:rsidR="0006341E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не производилось.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16)</w:t>
            </w:r>
            <w:r w:rsidR="004E065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Информация о планируемой стоимости строительства (создания) многоквартирного дома и (или) иного объекта недвижимости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8E7E41" w:rsidRDefault="008E7E41" w:rsidP="0035027A">
            <w:pPr>
              <w:spacing w:before="122" w:after="122" w:line="300" w:lineRule="atLeast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8E7E4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="006D54D8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</w:t>
            </w:r>
            <w:r w:rsidR="00292A37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5</w:t>
            </w:r>
            <w:r w:rsidR="003502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00</w:t>
            </w:r>
            <w:r w:rsidR="00C91BE9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35027A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</w:t>
            </w:r>
            <w:r w:rsidR="00F55C93" w:rsidRPr="008E7E4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00 рублей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17) Информация о перечне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Проектировщик: </w:t>
            </w:r>
            <w:r w:rsidR="008043C1" w:rsidRPr="008043C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ООО "Архитектурно-Строительная Группа КОНСТРУКТИВ"</w:t>
            </w:r>
          </w:p>
          <w:p w:rsidR="00F55C93" w:rsidRPr="00F55C93" w:rsidRDefault="00F55C93" w:rsidP="006A23A2">
            <w:pPr>
              <w:spacing w:before="122" w:after="150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150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51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0 Ярослав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ская </w:t>
            </w:r>
            <w:proofErr w:type="spellStart"/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обл</w:t>
            </w:r>
            <w:proofErr w:type="spellEnd"/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,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Ярославский р-н,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д. </w:t>
            </w:r>
            <w:proofErr w:type="spellStart"/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Кузнечиха</w:t>
            </w:r>
            <w:proofErr w:type="spellEnd"/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ул.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 Индустриальная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, д. </w:t>
            </w:r>
            <w:r w:rsidR="0026631B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7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18) Информация о способе обеспечения исполнения обязательств застройщиком по договору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5C446F" w:rsidRDefault="00F55C93" w:rsidP="008043C1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В соответствии со статьей 13 Федерального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в обеспечение исполнения обязательств застройщика по договорам с момента государственной регистрации договора участия в долевом строительстве в Управлении Федеральной службы государственной регистрации, кадастра и картографии по Ярославской области  у участников долевого строительства считаются находящимися в залоге право аренды земельного участка, предоставленного для строительства (создания) многоквартирного дома, и строящийся (создаваемый) на этом земельном участке многоквартирный дом, в составе которого будут находиться объекты долевого строительства.</w:t>
            </w:r>
          </w:p>
          <w:p w:rsidR="00F55C93" w:rsidRPr="008043C1" w:rsidRDefault="00F55C93" w:rsidP="008043C1">
            <w:pPr>
              <w:spacing w:before="122" w:after="150" w:line="240" w:lineRule="auto"/>
              <w:jc w:val="both"/>
              <w:rPr>
                <w:rFonts w:ascii="Arial" w:eastAsia="Times New Roman" w:hAnsi="Arial" w:cs="Arial"/>
                <w:color w:val="404040"/>
                <w:sz w:val="16"/>
                <w:szCs w:val="16"/>
                <w:highlight w:val="yellow"/>
                <w:lang w:eastAsia="ru-RU"/>
              </w:rPr>
            </w:pPr>
            <w:r w:rsidRPr="005C446F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За неисполнение или ненадлежащее исполнение обязательств по передаче жилого помещения участнику долевого строительства по Договору в порядке, установленном статьей 15.2 Федерального закона № 214-ФЗ от 30.12.2004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осуществляется страхование гражданской ответственности застройщика.</w:t>
            </w:r>
          </w:p>
        </w:tc>
      </w:tr>
      <w:tr w:rsidR="00F55C93" w:rsidRPr="00F55C93" w:rsidTr="00575F80">
        <w:tc>
          <w:tcPr>
            <w:tcW w:w="3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F55C93" w:rsidP="00F55C93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 xml:space="preserve">19) Информация об иных договорах и сделках, на </w:t>
            </w:r>
            <w:r w:rsidR="008043C1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о</w:t>
            </w:r>
            <w:r w:rsidRPr="00F55C93"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сновании которых привлекаются денежные средства для строительства (создания) многоквартирного дома и (или) иного объекта недвижимости за исключением привлечения денежных средств на основании договоров долевого участия</w:t>
            </w:r>
          </w:p>
        </w:tc>
        <w:tc>
          <w:tcPr>
            <w:tcW w:w="5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:rsidR="00F55C93" w:rsidRPr="00F55C93" w:rsidRDefault="0006341E" w:rsidP="00292A37">
            <w:pPr>
              <w:spacing w:before="122" w:after="122" w:line="240" w:lineRule="auto"/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404040"/>
                <w:sz w:val="16"/>
                <w:szCs w:val="16"/>
                <w:lang w:eastAsia="ru-RU"/>
              </w:rPr>
              <w:t>Нет.</w:t>
            </w:r>
          </w:p>
        </w:tc>
      </w:tr>
    </w:tbl>
    <w:p w:rsidR="00F759F1" w:rsidRDefault="00F759F1" w:rsidP="005B7231">
      <w:pPr>
        <w:shd w:val="clear" w:color="auto" w:fill="FFFFFF"/>
        <w:spacing w:before="122" w:after="122" w:line="240" w:lineRule="auto"/>
      </w:pPr>
    </w:p>
    <w:sectPr w:rsidR="00F759F1" w:rsidSect="00E43953">
      <w:type w:val="continuous"/>
      <w:pgSz w:w="11906" w:h="16838" w:code="9"/>
      <w:pgMar w:top="1134" w:right="567" w:bottom="907" w:left="1418" w:header="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93"/>
    <w:rsid w:val="0004572C"/>
    <w:rsid w:val="0006341E"/>
    <w:rsid w:val="00087885"/>
    <w:rsid w:val="000B587A"/>
    <w:rsid w:val="000D3BCE"/>
    <w:rsid w:val="0026631B"/>
    <w:rsid w:val="00292A37"/>
    <w:rsid w:val="00322419"/>
    <w:rsid w:val="0035027A"/>
    <w:rsid w:val="003E73BE"/>
    <w:rsid w:val="004A1869"/>
    <w:rsid w:val="004A3A77"/>
    <w:rsid w:val="004C285D"/>
    <w:rsid w:val="004C4524"/>
    <w:rsid w:val="004C70F2"/>
    <w:rsid w:val="004E0657"/>
    <w:rsid w:val="004F5FF8"/>
    <w:rsid w:val="00575F80"/>
    <w:rsid w:val="005827F2"/>
    <w:rsid w:val="005B7231"/>
    <w:rsid w:val="005C446F"/>
    <w:rsid w:val="00631DE0"/>
    <w:rsid w:val="006375DB"/>
    <w:rsid w:val="006700F2"/>
    <w:rsid w:val="006A23A2"/>
    <w:rsid w:val="006D54D8"/>
    <w:rsid w:val="0074057E"/>
    <w:rsid w:val="007A1326"/>
    <w:rsid w:val="008043C1"/>
    <w:rsid w:val="00896DD2"/>
    <w:rsid w:val="008C6D5C"/>
    <w:rsid w:val="008E7E41"/>
    <w:rsid w:val="00961154"/>
    <w:rsid w:val="009A66A9"/>
    <w:rsid w:val="009C61D7"/>
    <w:rsid w:val="009E724E"/>
    <w:rsid w:val="00A200B0"/>
    <w:rsid w:val="00AA256E"/>
    <w:rsid w:val="00B236ED"/>
    <w:rsid w:val="00B33C94"/>
    <w:rsid w:val="00C16C3C"/>
    <w:rsid w:val="00C91BE9"/>
    <w:rsid w:val="00CA6FA5"/>
    <w:rsid w:val="00CF2825"/>
    <w:rsid w:val="00D276CA"/>
    <w:rsid w:val="00D3655E"/>
    <w:rsid w:val="00D755FF"/>
    <w:rsid w:val="00DA47AA"/>
    <w:rsid w:val="00DB1EA5"/>
    <w:rsid w:val="00DF6850"/>
    <w:rsid w:val="00E06E61"/>
    <w:rsid w:val="00E43953"/>
    <w:rsid w:val="00E75482"/>
    <w:rsid w:val="00E8544C"/>
    <w:rsid w:val="00F55C93"/>
    <w:rsid w:val="00F759F1"/>
    <w:rsid w:val="00F76D02"/>
    <w:rsid w:val="00FA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1E72E-72A3-4EC4-9569-1D71F33A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93"/>
    <w:rPr>
      <w:b/>
      <w:bCs/>
    </w:rPr>
  </w:style>
  <w:style w:type="character" w:customStyle="1" w:styleId="apple-converted-space">
    <w:name w:val="apple-converted-space"/>
    <w:basedOn w:val="a0"/>
    <w:rsid w:val="00F55C93"/>
  </w:style>
  <w:style w:type="character" w:styleId="a5">
    <w:name w:val="line number"/>
    <w:basedOn w:val="a0"/>
    <w:uiPriority w:val="99"/>
    <w:semiHidden/>
    <w:unhideWhenUsed/>
    <w:rsid w:val="006700F2"/>
  </w:style>
  <w:style w:type="paragraph" w:styleId="a6">
    <w:name w:val="Balloon Text"/>
    <w:basedOn w:val="a"/>
    <w:link w:val="a7"/>
    <w:uiPriority w:val="99"/>
    <w:semiHidden/>
    <w:unhideWhenUsed/>
    <w:rsid w:val="004C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Волжстрой</cp:lastModifiedBy>
  <cp:revision>22</cp:revision>
  <cp:lastPrinted>2015-02-18T11:56:00Z</cp:lastPrinted>
  <dcterms:created xsi:type="dcterms:W3CDTF">2015-02-25T08:00:00Z</dcterms:created>
  <dcterms:modified xsi:type="dcterms:W3CDTF">2015-04-16T05:08:00Z</dcterms:modified>
</cp:coreProperties>
</file>